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media/image1.png" ContentType="image/png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99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9996"/>
      </w:tblGrid>
      <w:tr>
        <w:trPr/>
        <w:tc>
          <w:tcPr>
            <w:tcW w:w="9996" w:type="dxa"/>
            <w:tcBorders>
              <w:bottom w:val="thinThickSmallGap" w:sz="12" w:space="0" w:color="000000"/>
            </w:tcBorders>
          </w:tcPr>
          <w:p>
            <w:pPr>
              <w:pStyle w:val="NoSpacing"/>
              <w:widowControl w:val="false"/>
              <w:jc w:val="center"/>
              <w:rPr/>
            </w:pPr>
            <w:r>
              <w:rPr/>
              <w:drawing>
                <wp:inline distT="0" distB="0" distL="0" distR="0">
                  <wp:extent cx="742950" cy="914400"/>
                  <wp:effectExtent l="0" t="0" r="0" b="0"/>
                  <wp:docPr id="1" name="Рисунок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b/>
                <w:b/>
                <w:spacing w:val="-20"/>
                <w:sz w:val="32"/>
                <w:szCs w:val="32"/>
              </w:rPr>
            </w:pPr>
            <w:r>
              <w:rPr>
                <w:rFonts w:ascii="Bookman Old Style" w:hAnsi="Bookman Old Style"/>
                <w:b/>
                <w:spacing w:val="-20"/>
                <w:sz w:val="32"/>
                <w:szCs w:val="32"/>
              </w:rPr>
              <w:t>Администрация Миньярского городского поселения</w:t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b/>
                <w:b/>
                <w:sz w:val="26"/>
                <w:szCs w:val="26"/>
              </w:rPr>
            </w:pPr>
            <w:r>
              <w:rPr>
                <w:rFonts w:ascii="Bookman Old Style" w:hAnsi="Bookman Old Style"/>
                <w:b/>
                <w:sz w:val="26"/>
                <w:szCs w:val="26"/>
              </w:rPr>
              <w:t>Ашинского муниципального района Челябинской области</w:t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sz w:val="16"/>
                <w:szCs w:val="16"/>
              </w:rPr>
            </w:pPr>
            <w:r>
              <w:rPr>
                <w:rFonts w:ascii="Bookman Old Style" w:hAnsi="Bookman Old Style"/>
                <w:sz w:val="16"/>
                <w:szCs w:val="16"/>
              </w:rPr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b/>
                <w:b/>
                <w:sz w:val="52"/>
                <w:szCs w:val="52"/>
              </w:rPr>
            </w:pPr>
            <w:r>
              <w:rPr>
                <w:rFonts w:ascii="Bookman Old Style" w:hAnsi="Bookman Old Style"/>
                <w:b/>
                <w:sz w:val="52"/>
                <w:szCs w:val="52"/>
              </w:rPr>
              <w:t>ПОСТАНОВЛЕНИЕ</w:t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b/>
                <w:b/>
                <w:sz w:val="16"/>
                <w:szCs w:val="16"/>
              </w:rPr>
            </w:pPr>
            <w:r>
              <w:rPr>
                <w:rFonts w:ascii="Bookman Old Style" w:hAnsi="Bookman Old Style"/>
                <w:b/>
                <w:sz w:val="16"/>
                <w:szCs w:val="16"/>
              </w:rPr>
            </w:r>
          </w:p>
        </w:tc>
      </w:tr>
    </w:tbl>
    <w:tbl>
      <w:tblPr>
        <w:tblpPr w:vertAnchor="text" w:horzAnchor="margin" w:leftFromText="180" w:rightFromText="180" w:tblpX="0" w:tblpY="87"/>
        <w:tblW w:w="4968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65"/>
        <w:gridCol w:w="2522"/>
        <w:gridCol w:w="540"/>
        <w:gridCol w:w="1440"/>
      </w:tblGrid>
      <w:tr>
        <w:trPr/>
        <w:tc>
          <w:tcPr>
            <w:tcW w:w="46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right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ar-SA"/>
              </w:rPr>
              <w:t>от</w:t>
            </w:r>
          </w:p>
        </w:tc>
        <w:tc>
          <w:tcPr>
            <w:tcW w:w="2522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ar-SA"/>
              </w:rPr>
              <w:t>24.12.2024г.</w:t>
            </w:r>
          </w:p>
        </w:tc>
        <w:tc>
          <w:tcPr>
            <w:tcW w:w="54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right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440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ar-SA"/>
              </w:rPr>
              <w:t>202</w:t>
            </w:r>
          </w:p>
        </w:tc>
      </w:tr>
    </w:tbl>
    <w:p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hd w:val="clear" w:color="auto" w:fill="FFFFFF"/>
        <w:ind w:right="5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Об утверждении Программы профилактики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рисков причинения вреда (ущерба) охраняемым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законом ценностям Администрации Миньярского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городского поселения в сфере муниципального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земельного контроля на 2025 год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Web"/>
        <w:spacing w:before="280" w:after="280"/>
        <w:jc w:val="both"/>
        <w:rPr/>
      </w:pPr>
      <w:r>
        <w:rPr/>
        <w:t xml:space="preserve">  </w:t>
      </w:r>
      <w:r>
        <w:rPr/>
        <w:t>В соответствии с Федеральным законом от 31 июля 2021 года № 248-ФЗ «О государственном контроле (надзоре) и муниципальном контроле в Российской Федерации», Федеральным законом от 06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Совета депутатов Миньярского городского поселения от 24 сентября 2021 года № 41 «Об утверждении Положения о муниципальном земельном контроле на территории Миньярского городского поселения», Уставом Миньярского городского поселения,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ПОСТАНОВЛЯЮ:</w:t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24" w:right="0" w:hanging="567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Утвердить Программу профилактики рисков причинения вреда (ущерба) охраняемым законом ценностям Администрации Миньярского городского поселения в сфере муниципального земельного контроля на 2025 год (Приложение к Постановлению).</w:t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80" w:right="0" w:hanging="624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Настоящее Постановление вступает в силу с момента его опубликования.</w:t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80" w:right="0" w:hanging="624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Настоящее Постановление подлежит размещению на официальном сайте Администрации Миньярского городского поселения Миньяр74.рф.</w:t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80" w:right="0" w:hanging="624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Должностным лицам, уполномоченным осуществлять муниципальный земельный  контроль на территории Миньярского городского поселения, обеспечить в пределах своей компетенции выполнение Программы профилактики рисков причинения вреда (ущерба) охраняемым законом ценностям .</w:t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80" w:right="0" w:hanging="624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Контроль за исполнением настоящего постановления оставляю за собой.</w:t>
      </w:r>
    </w:p>
    <w:p>
      <w:pPr>
        <w:pStyle w:val="NoSpacing"/>
        <w:widowControl/>
        <w:numPr>
          <w:ilvl w:val="0"/>
          <w:numId w:val="0"/>
        </w:numPr>
        <w:suppressAutoHyphens w:val="true"/>
        <w:bidi w:val="0"/>
        <w:spacing w:lineRule="auto" w:line="276" w:before="0" w:after="0"/>
        <w:ind w:left="1001" w:right="0" w:hanging="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                                                      </w:t>
      </w:r>
    </w:p>
    <w:p>
      <w:pPr>
        <w:pStyle w:val="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tabs>
          <w:tab w:val="clear" w:pos="708"/>
          <w:tab w:val="left" w:pos="7500" w:leader="none"/>
        </w:tabs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Исполняющий полномочия главы</w:t>
      </w:r>
    </w:p>
    <w:p>
      <w:pPr>
        <w:pStyle w:val="Normal"/>
        <w:tabs>
          <w:tab w:val="clear" w:pos="708"/>
          <w:tab w:val="left" w:pos="7500" w:leader="none"/>
        </w:tabs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Миньярского городского поселения                                                                     И.В.Арутюнов</w:t>
      </w:r>
    </w:p>
    <w:p>
      <w:pPr>
        <w:pStyle w:val="Normal"/>
        <w:spacing w:before="0" w:after="0"/>
        <w:jc w:val="both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 xml:space="preserve">Приложение  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>к Постановлению Администрации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>Миньярского городского поселения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>от_______</w:t>
      </w:r>
      <w:r>
        <w:rPr>
          <w:rFonts w:ascii="Tempora LGC Uni" w:hAnsi="Tempora LGC Uni"/>
          <w:sz w:val="24"/>
          <w:szCs w:val="24"/>
        </w:rPr>
        <w:t>24.12.2024г.</w:t>
      </w:r>
      <w:r>
        <w:rPr>
          <w:rFonts w:ascii="Tempora LGC Uni" w:hAnsi="Tempora LGC Uni"/>
          <w:sz w:val="24"/>
          <w:szCs w:val="24"/>
        </w:rPr>
        <w:t>№_____</w:t>
      </w:r>
      <w:r>
        <w:rPr>
          <w:rFonts w:ascii="Tempora LGC Uni" w:hAnsi="Tempora LGC Uni"/>
          <w:sz w:val="24"/>
          <w:szCs w:val="24"/>
        </w:rPr>
        <w:t>202</w:t>
      </w:r>
      <w:r>
        <w:rPr>
          <w:rFonts w:ascii="Tempora LGC Uni" w:hAnsi="Tempora LGC Uni"/>
          <w:sz w:val="24"/>
          <w:szCs w:val="24"/>
        </w:rPr>
        <w:t xml:space="preserve">_ 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 xml:space="preserve"> </w:t>
      </w:r>
      <w:r>
        <w:rPr>
          <w:rFonts w:ascii="Tempora LGC Uni" w:hAnsi="Tempora LGC Uni"/>
          <w:b/>
          <w:bCs/>
          <w:sz w:val="24"/>
          <w:szCs w:val="24"/>
        </w:rPr>
        <w:t xml:space="preserve"> </w:t>
      </w:r>
      <w:r>
        <w:rPr>
          <w:rFonts w:ascii="Tempora LGC Uni" w:hAnsi="Tempora LGC Uni"/>
          <w:b/>
          <w:bCs/>
          <w:sz w:val="24"/>
          <w:szCs w:val="24"/>
        </w:rPr>
        <w:t>ПРОЕКТ</w:t>
      </w:r>
    </w:p>
    <w:p>
      <w:pPr>
        <w:pStyle w:val="Normal"/>
        <w:spacing w:before="0" w:after="0"/>
        <w:jc w:val="center"/>
        <w:rPr>
          <w:rFonts w:ascii="Tempora LGC Uni" w:hAnsi="Tempora LGC Uni"/>
          <w:b/>
          <w:b/>
          <w:bCs/>
          <w:sz w:val="24"/>
          <w:szCs w:val="24"/>
        </w:rPr>
      </w:pPr>
      <w:r>
        <w:rPr>
          <w:rFonts w:ascii="Tempora LGC Uni" w:hAnsi="Tempora LGC Uni"/>
          <w:b/>
          <w:bCs/>
          <w:sz w:val="24"/>
          <w:szCs w:val="24"/>
        </w:rPr>
        <w:t xml:space="preserve">        </w:t>
      </w:r>
      <w:r>
        <w:rPr>
          <w:rFonts w:ascii="Tempora LGC Uni" w:hAnsi="Tempora LGC Uni"/>
          <w:b/>
          <w:bCs/>
          <w:sz w:val="24"/>
          <w:szCs w:val="24"/>
        </w:rPr>
        <w:t>Программа профилактики  рисков причинения вреда (ущерба) охраняемым законом ценностям Администрации Миньярского городского поселения в сфере муниципального земельного контроля на 2025 год</w:t>
      </w:r>
    </w:p>
    <w:p>
      <w:pPr>
        <w:pStyle w:val="Normal"/>
        <w:spacing w:before="0" w:after="0"/>
        <w:jc w:val="center"/>
        <w:rPr>
          <w:rFonts w:ascii="Tempora LGC Uni" w:hAnsi="Tempora LGC Uni"/>
          <w:b/>
          <w:b/>
          <w:bCs/>
          <w:sz w:val="24"/>
          <w:szCs w:val="24"/>
        </w:rPr>
      </w:pPr>
      <w:r>
        <w:rPr>
          <w:rFonts w:ascii="Tempora LGC Uni" w:hAnsi="Tempora LGC Uni"/>
          <w:b/>
          <w:bCs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    </w:t>
      </w:r>
      <w:r>
        <w:rPr>
          <w:rFonts w:ascii="Tempora LGC Uni" w:hAnsi="Tempora LGC Uni"/>
          <w:b w:val="false"/>
          <w:bCs w:val="false"/>
          <w:sz w:val="24"/>
          <w:szCs w:val="24"/>
        </w:rPr>
        <w:t>Настоящая Программа разработана 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земельного контроля на территории Миньярского городского поселения.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ПАСПОРТ</w:t>
      </w:r>
    </w:p>
    <w:tbl>
      <w:tblPr>
        <w:tblW w:w="1039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98"/>
        <w:gridCol w:w="5197"/>
      </w:tblGrid>
      <w:tr>
        <w:trPr/>
        <w:tc>
          <w:tcPr>
            <w:tcW w:w="5198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Наименование программы</w:t>
            </w:r>
          </w:p>
        </w:tc>
        <w:tc>
          <w:tcPr>
            <w:tcW w:w="5197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/>
            </w:pPr>
            <w:r>
              <w:rPr/>
              <w:t>Программа профилактики рисков причинения вреда (ущерба) охраняемым законом ценностям Администрации  Миньярского городского поселения в сфере муниципального земельного контроля на 2025 год (далее — Программа профилактики).</w:t>
            </w:r>
          </w:p>
        </w:tc>
      </w:tr>
      <w:tr>
        <w:trPr/>
        <w:tc>
          <w:tcPr>
            <w:tcW w:w="5198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Правовые основания разработки программы</w:t>
            </w:r>
          </w:p>
        </w:tc>
        <w:tc>
          <w:tcPr>
            <w:tcW w:w="5197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/>
            </w:pPr>
            <w:r>
              <w:rPr/>
              <w:t>Федеральный закон от 31 июля 2020 года № 248-ФЗ «О государственном контроле (надзоре) и муниципальном контроле в Российской Федерации (далее- Федеральный закон от 31 июля 2020 года № 248-ФЗ);   Постановление Правительства Российской Федерации jот 25 июля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      </w:r>
          </w:p>
        </w:tc>
      </w:tr>
      <w:tr>
        <w:trPr/>
        <w:tc>
          <w:tcPr>
            <w:tcW w:w="51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Сроки и этапы реализации программы</w:t>
            </w:r>
          </w:p>
        </w:tc>
        <w:tc>
          <w:tcPr>
            <w:tcW w:w="519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2025 год</w:t>
            </w:r>
          </w:p>
        </w:tc>
      </w:tr>
      <w:tr>
        <w:trPr/>
        <w:tc>
          <w:tcPr>
            <w:tcW w:w="51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Источник финансирования</w:t>
            </w:r>
          </w:p>
        </w:tc>
        <w:tc>
          <w:tcPr>
            <w:tcW w:w="519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both"/>
              <w:rPr/>
            </w:pPr>
            <w:r>
              <w:rPr/>
              <w:t>Реализация Программы профилактики осуществляется в пределах штатной численности и в рамках текущего финансирования деятельности  Администрации Миньярского городского поселения. Дополнительных финансовых и иных ресурсов, необходимых для реализации данной программы, не требуется.</w:t>
            </w:r>
          </w:p>
        </w:tc>
      </w:tr>
      <w:tr>
        <w:trPr/>
        <w:tc>
          <w:tcPr>
            <w:tcW w:w="51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Ожидаемые конечные результаты реализации программы</w:t>
            </w:r>
          </w:p>
        </w:tc>
        <w:tc>
          <w:tcPr>
            <w:tcW w:w="519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both"/>
              <w:rPr/>
            </w:pPr>
            <w:r>
              <w:rPr/>
      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      </w:r>
          </w:p>
        </w:tc>
      </w:tr>
    </w:tbl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1. Анализ текущего состояния осуществления муниципального земельного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1.1. Вид муниципального контроля — муниципальный земельный контроль.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1.2. Предметом муниципального земельного контроля на территории Миньярского городского поселения является соблюдением юридическими лицами, индивидуальными предпринимателями, гражданами (далее-контролируемые лица) обязательных требований земельного законодательства Российской Федерации в отношении объектов земельных отношений, за нарушение которых законодательством Российской Федерации предусмотрена административная ответственность.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1.3. Объектами муниципального земельного контроля являются объекты земельных отношений (земли, земельные участки или части земельных участков), расположенных на территории Миньярского городского поселения.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1.4. Подконтрольными субъектами профилактических мероприятий при осуществлении муниципального земельного контроля являются юридические лица, индивидуальные предприниматели, граждане.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1.5. На территории Миньярского городского поселения муниципальный земельный контроль осуществляется за соблюдением: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обязательных требований о недопущении самовольного занятия земель, земельного участка или части земельного участка, в том числе использования земель, земельного участка или части земельного участка, лицом не имеющим предусмотренных законодательством прав на них;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обязательных требований по недопущению использования земельного участка на праве постоянного (бессрочного) пользования юридическим лицом, не выполнившим в установленный федеральным законом срок обязанности по переоформлению такого права на право аренды земельного участка или приобретению этого земельного участка в собственность;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обязательных требований об использовании земельного участка по целевому назначению в соответствии с его принадлежностью к той или иной категории земель и (или) разрешенным использованием.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обязательных требований, связанных с обязательным использованием земель, предназначенных для жилищного или иного строительства, садоводства, огородничества и личного подсобного хозяйства, в указанных целях в течении установленного срока;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обязательных требований, связанных с обязанностью по приведению земель в соответствие, пригодное для использования по целевому назначению;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обязательных требований по использованию земельного участка из земель сельскохозяйственного назначения, оборот которых регулируется Федеральным законом от 24 июля 2002 года № 101-ФЗ «Об обороте земель сельскохозяйственного назначения», для ведения сельскохозяйственного производства или осуществления иной связанной с сельскохозяйственным производством деятельности;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обязательных требований о запрете самовольного снятия, перемещения и уничтожения плодородного слоя почвы, порчи земель в результате нарушения правил обращения с пестицидами, агрохимикатами или иными опасными для здоровья людей и окружающей среды веществами и отходами производства и потребления;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обязательных требований рекультивации земель при разработке месторождений полезных ископаемых, включая общераспространенные полезные ископаемые, осуществление строительных, мелиоративных, изыскательских и иных работ, в том числе работ, осуществляемых для внутрихозяйственных или собственных надобностей, а также после завершения строительства, реконструкции и (или) эксплуатации объектов, не связанных с созданием лесной инфраструктуры, сноса объектов лесной инфраструктуры;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обязательных требований по улучшению земель и охране почв от ветровой, водной эрозии и предотвращению других процессов, ухудшающих качественное состояние земель, защите земель от зарастания деревьями и кустарниками, сорными растениями;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1.6. Комитетом по управлению муниципальным имуществом и земельным отношениям Миньярского городского поселения (далее-Комитет) в 2024 году не было проведено проверок в отношении физических и юридических лиц.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  </w:t>
      </w:r>
      <w:r>
        <w:rPr>
          <w:rFonts w:ascii="Tempora LGC Uni" w:hAnsi="Tempora LGC Uni"/>
          <w:b w:val="false"/>
          <w:bCs w:val="false"/>
          <w:sz w:val="24"/>
          <w:szCs w:val="24"/>
        </w:rPr>
        <w:t>Программа профилактики в сфере муниципального земельного контроля на территории Миньярского городского поселения — осуществление подконтрольными субъектами хозяйственной деятельности с нарушением обязательных требований земельного законодательства Российской Федерации.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   </w:t>
      </w:r>
      <w:r>
        <w:rPr>
          <w:rFonts w:ascii="Tempora LGC Uni" w:hAnsi="Tempora LGC Uni"/>
          <w:b w:val="false"/>
          <w:bCs w:val="false"/>
          <w:sz w:val="24"/>
          <w:szCs w:val="24"/>
        </w:rPr>
        <w:t>Также текущее состояние подконтрольной среды характеризуется тем, что подконтрольные субъекты зачастую не владеют необходимыми знаниями в указанной сфере деятельности, что приводит к нарушению ими обязательных требований установленных муниципальными правовыми актами.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  </w:t>
      </w:r>
      <w:r>
        <w:rPr>
          <w:rFonts w:ascii="Tempora LGC Uni" w:hAnsi="Tempora LGC Uni"/>
          <w:b w:val="false"/>
          <w:bCs w:val="false"/>
          <w:sz w:val="24"/>
          <w:szCs w:val="24"/>
        </w:rPr>
        <w:t>В этой связи работа по профилактике нарушений обязательных требований земельного законодательства Российской Федерации должна выстраиваться на регулярной основе.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      </w:t>
      </w:r>
      <w:r>
        <w:rPr>
          <w:rFonts w:ascii="Tempora LGC Uni" w:hAnsi="Tempora LGC Uni"/>
          <w:b w:val="false"/>
          <w:bCs w:val="false"/>
          <w:sz w:val="24"/>
          <w:szCs w:val="24"/>
        </w:rPr>
        <w:t>Решением данной проблемы является проведение профилактических мероприятий, направленных на разъяснения подконтрольными субъектами необходимости выполнения обязательных требований земельного законодательства Российской Федерации, требований установленных муниципальными правовыми актами Администрации Миньярского городского поселения.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Таблица № 1</w:t>
      </w:r>
    </w:p>
    <w:tbl>
      <w:tblPr>
        <w:tblW w:w="1039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7"/>
        <w:gridCol w:w="3531"/>
        <w:gridCol w:w="2079"/>
        <w:gridCol w:w="2079"/>
        <w:gridCol w:w="2080"/>
      </w:tblGrid>
      <w:tr>
        <w:trPr/>
        <w:tc>
          <w:tcPr>
            <w:tcW w:w="627" w:type="dxa"/>
            <w:tcBorders/>
          </w:tcPr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 xml:space="preserve">№ </w:t>
            </w:r>
            <w:r>
              <w:rPr/>
              <w:t>п/п</w:t>
            </w:r>
          </w:p>
        </w:tc>
        <w:tc>
          <w:tcPr>
            <w:tcW w:w="353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Показатели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Методика расчета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Запланированный показатель на 2024 год</w:t>
            </w:r>
          </w:p>
        </w:tc>
        <w:tc>
          <w:tcPr>
            <w:tcW w:w="208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Фактический показатель на 2024 год</w:t>
            </w:r>
          </w:p>
        </w:tc>
      </w:tr>
      <w:tr>
        <w:trPr/>
        <w:tc>
          <w:tcPr>
            <w:tcW w:w="627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</w:t>
            </w:r>
          </w:p>
        </w:tc>
        <w:tc>
          <w:tcPr>
            <w:tcW w:w="353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Плановые осмотры, обследования земельных участков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единиц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0</w:t>
            </w:r>
          </w:p>
        </w:tc>
        <w:tc>
          <w:tcPr>
            <w:tcW w:w="208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0</w:t>
            </w:r>
          </w:p>
        </w:tc>
      </w:tr>
      <w:tr>
        <w:trPr/>
        <w:tc>
          <w:tcPr>
            <w:tcW w:w="627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2</w:t>
            </w:r>
          </w:p>
        </w:tc>
        <w:tc>
          <w:tcPr>
            <w:tcW w:w="353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Количество выявленных нарушений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единиц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0</w:t>
            </w:r>
          </w:p>
        </w:tc>
        <w:tc>
          <w:tcPr>
            <w:tcW w:w="208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0</w:t>
            </w:r>
          </w:p>
        </w:tc>
      </w:tr>
      <w:tr>
        <w:trPr/>
        <w:tc>
          <w:tcPr>
            <w:tcW w:w="627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3</w:t>
            </w:r>
          </w:p>
        </w:tc>
        <w:tc>
          <w:tcPr>
            <w:tcW w:w="353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Количество выданных предостережений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единиц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0</w:t>
            </w:r>
          </w:p>
        </w:tc>
        <w:tc>
          <w:tcPr>
            <w:tcW w:w="208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0</w:t>
            </w:r>
          </w:p>
        </w:tc>
      </w:tr>
      <w:tr>
        <w:trPr/>
        <w:tc>
          <w:tcPr>
            <w:tcW w:w="627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4</w:t>
            </w:r>
          </w:p>
        </w:tc>
        <w:tc>
          <w:tcPr>
            <w:tcW w:w="353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Количество проведенных мероприятий, нацеленных на информирование подконтрольных субъектов о необходимости соблюдения обязательных требованиях земельного законодательства Российской Федерации, требований, установленных муниципальными правовыми актами.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единиц</w:t>
            </w:r>
          </w:p>
        </w:tc>
        <w:tc>
          <w:tcPr>
            <w:tcW w:w="207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0</w:t>
            </w:r>
          </w:p>
        </w:tc>
        <w:tc>
          <w:tcPr>
            <w:tcW w:w="208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0</w:t>
            </w:r>
          </w:p>
        </w:tc>
      </w:tr>
    </w:tbl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2. Цели и задачи реализации Программы профилактики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2.1. Основными целями Программы профилактики являются: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стимулирование добросовестного соблюдения обязательных требований земельного законодательства Российской Федерации всеми контролируемыми лицами;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 устранение условий, причин и факторов, способных привести к нарушениям обязательных требований земельного законодательства Российской Федерации и (или) причинению вреда (ущерба) охраняемым законом ценностям;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создание условий для доведения обязательных требований земельного законодательства Российской Федерации до контролируемых лиц, повышение информированности о способах их соблюдения.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2.2. Проведение профилактических мероприятий направлено на решение следующих задач: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снижение рисков причинения вреда (ущерба) охраняемым законом ценностям;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внедрение способов профилактики, установленных Положением о муниципальном земельном контроле на территории Миньярского городского поселения, решением Совета депутатов Миньярского городского поселения от 24 сентября 2021 года№ 41.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повышение прозрачности деятельности контрольного (надзорного) органа;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уменьшение Администрации нагрузки на контролируемых лиц;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повышение уровня правовой грамотности контролируемых лиц;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выявление причин, факторов и условий, способствующих нарушениям обязательных требований земельного законодательства Российской Федерации, устранение таких причин, факторов и условий.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3. Перечень профилактических мероприятий, сроки (периодичность) их проведения</w:t>
      </w:r>
    </w:p>
    <w:tbl>
      <w:tblPr>
        <w:tblW w:w="10381" w:type="dxa"/>
        <w:jc w:val="righ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0"/>
        <w:gridCol w:w="3478"/>
        <w:gridCol w:w="2087"/>
        <w:gridCol w:w="1858"/>
        <w:gridCol w:w="2298"/>
      </w:tblGrid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 xml:space="preserve">№ </w:t>
            </w:r>
            <w:r>
              <w:rPr/>
              <w:t>п/п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Наименование и форма проведения мероприятия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Срок исполнения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Структурное подразделение, и (или) должностные лица контрольного органа, ответственные за их реализацию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Способ реализации</w:t>
            </w:r>
          </w:p>
        </w:tc>
      </w:tr>
      <w:tr>
        <w:trPr/>
        <w:tc>
          <w:tcPr>
            <w:tcW w:w="10381" w:type="dxa"/>
            <w:gridSpan w:val="5"/>
            <w:tcBorders/>
          </w:tcPr>
          <w:p>
            <w:pPr>
              <w:pStyle w:val="Style22"/>
              <w:widowControl w:val="false"/>
              <w:spacing w:before="0" w:after="200"/>
              <w:jc w:val="left"/>
              <w:rPr/>
            </w:pPr>
            <w:r>
              <w:rPr/>
              <w:t xml:space="preserve">            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1. Информирование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1.1.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Тексты нормативных правовых актов, регулирующих осуществление муниципального земельного контроля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Первичное размещение 1 квартала 2025 года, актуализация на постоянной основе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Посредством размещения информации на официальном сайте Администрации Миньярского городского поселения в разделе «Муниципальный контроль»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1.2.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Сведения об изменениях, внесенных в нормативные правовые акты, регулирующие осуществление муниципального земельного контроля, о сроках и порядке их вступления в силу.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Актуализация на постоянной основе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Посредством размещения информации на официальном сайте Администрации Миньярского городского поселения в разделе «Муниципальный контроль»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1.3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Перечень нормативных правовых актов с указанием структурных единиц этих актов, содержащих обязательные требования земельного законодательства Российской Федерации, оценка соблюдения которых является предметом муниципального земельного контроля, а также информация и мерах ответственности, применяемые при нарушении обязательных требований земельного законодательства Российской Федерации, с текстами в  действующей редакции.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Первичное размещение 1 квартала 2025 года, актуализация на постоянной основе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Посредством размещения информации на официальном сайте Администрации Миньярского городского поселения в разделе «Муниципальный контроль»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1.4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Руководства по соблюдению обязательных требований земельного законодательства Российской Федерации, установленных органом муниципального земельного контроля или руководства по соблюдению обязательных требований земельного законодательства Российской Федерации , установленных федеральными НПА, сформированные федеральными органами исполнительной власти, осуществляющими выработку государственной политики в данной сфере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Первичное размещение 1 квартала 2025 года, актуализация на постоянной основе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Посредством размещения информации на официальном сайте Администрации Миньярского городского поселения в разделе «Муниципальный контроль»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1.5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Перечень индикаторов риска нарушения обязательных требований земельного законодательства Российской Федерации, порядок отнесения объектов категориям риска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Первичное размещение 1 квартала 2025 года, актуализация на постоянной основе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Посредством размещения информации на официальном сайте Администрации Миньярского городского поселения в разделе «Муниципальный контроль»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1.6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Программа профилактики рисков причинения вреда (ущерба) охраняемым законом ценностям и план проведения плановых контрольных (надзорных) мероприятий органом муниципального земельного контроля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Не позднее 20 декабря 2025 года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Посредством размещения информации на официальном сайте Администрации Миньярского городского поселения в разделе «Муниципальный контроль»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1.7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Исчерпывающий перечень сведений, которые могут запрашиваться органом муниципального контроля у контролирующего лица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Первичное размещение квартал 2025 года, актуализация на постоянной основе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Посредством размещения информации на официальном сайте Администрации Миньярского городского поселения в разделе «Муниципальный контроль»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1.8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Доклады о государственном контроле, муниципальном контроле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До 1 марта 2025 года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Посредством размещения информации на официальном сайте Администрации Миньярского городского поселения в разделе «Муниципальный контроль»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1.9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Доклады, содержащие результаты обобщения правоприменительной практике органа муниципального земельного контроля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До 1 марта 2025 года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В виде публичного мероприятия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1.10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Публичные обсуждения правоприменительной практики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Ноябрь 2025 года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10381" w:type="dxa"/>
            <w:gridSpan w:val="5"/>
            <w:tcBorders/>
          </w:tcPr>
          <w:p>
            <w:pPr>
              <w:pStyle w:val="Style22"/>
              <w:widowControl w:val="false"/>
              <w:spacing w:before="0" w:after="200"/>
              <w:jc w:val="left"/>
              <w:rPr/>
            </w:pPr>
            <w:r>
              <w:rPr/>
              <w:t xml:space="preserve">             </w:t>
            </w:r>
            <w:r>
              <w:rPr>
                <w:b/>
                <w:bCs/>
              </w:rPr>
              <w:t>2.  Обобщение правоприменительной практики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2.1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Подготовка доклада с результатами обобщения правоприменительной практики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До 1 марта 2025 года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Анализ и письменное оформление результатов правоприменительной практике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2.2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Публичное обсуждение проекта доклада о правоприменительной практике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До 1 марта 2025 года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В виде публичного мероприятия</w:t>
            </w:r>
          </w:p>
        </w:tc>
      </w:tr>
      <w:tr>
        <w:trPr/>
        <w:tc>
          <w:tcPr>
            <w:tcW w:w="10381" w:type="dxa"/>
            <w:gridSpan w:val="5"/>
            <w:tcBorders/>
          </w:tcPr>
          <w:p>
            <w:pPr>
              <w:pStyle w:val="Style22"/>
              <w:widowControl w:val="false"/>
              <w:spacing w:before="0" w:after="200"/>
              <w:jc w:val="left"/>
              <w:rPr/>
            </w:pPr>
            <w:r>
              <w:rPr/>
              <w:t xml:space="preserve">          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3. Объявление предосторожности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3.1.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Выдача контролируемым лицам предостережения о недопустимости нарушения обязательных   требований земельного законодательства Российской Федерации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Постоянно по мере необходимости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КУМИиЗО МГП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Посредством выдачи лично или направления почтовым отпралением</w:t>
            </w:r>
          </w:p>
        </w:tc>
      </w:tr>
      <w:tr>
        <w:trPr/>
        <w:tc>
          <w:tcPr>
            <w:tcW w:w="10381" w:type="dxa"/>
            <w:gridSpan w:val="5"/>
            <w:tcBorders/>
          </w:tcPr>
          <w:p>
            <w:pPr>
              <w:pStyle w:val="Style22"/>
              <w:widowControl w:val="false"/>
              <w:spacing w:before="0" w:after="200"/>
              <w:jc w:val="left"/>
              <w:rPr/>
            </w:pPr>
            <w:r>
              <w:rPr/>
              <w:t xml:space="preserve">           </w:t>
            </w:r>
            <w:r>
              <w:rPr>
                <w:b/>
                <w:bCs/>
              </w:rPr>
              <w:t>4. Консультация</w:t>
            </w:r>
          </w:p>
        </w:tc>
      </w:tr>
      <w:tr>
        <w:trPr/>
        <w:tc>
          <w:tcPr>
            <w:tcW w:w="660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4.1</w:t>
            </w:r>
          </w:p>
        </w:tc>
        <w:tc>
          <w:tcPr>
            <w:tcW w:w="347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Консультирование осуществляется по следующим вопросам:</w:t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1) Разъяснение положений нормативных правовых актов, муниципальных правовых актов, содержащих обязательные требования, оценка соблюдения которых осуществляется в рамках муниципального земельного контроля; 2) разъяснение положений нормативных правовых актов, муниципальных правовых актов, регламентирующих порядок осуществления муниципального земельного контроля; 3) порядок обжалования решений уполномоченных органов,действий (бездействия) должностных лиц, осуществляющих муниципальный земельный контроль; 4) выполнение предписания, выданного по итогам контрольного (надзорного) мероприятия</w:t>
            </w:r>
          </w:p>
        </w:tc>
        <w:tc>
          <w:tcPr>
            <w:tcW w:w="2087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Постоянно по мере поступления обращений</w:t>
            </w:r>
          </w:p>
        </w:tc>
        <w:tc>
          <w:tcPr>
            <w:tcW w:w="185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Председатель КУМИиЗО МГП, должностное лицо КУМИиЗО МГП уполномоченное на осуществление муниципального земельного контроля</w:t>
            </w:r>
          </w:p>
        </w:tc>
        <w:tc>
          <w:tcPr>
            <w:tcW w:w="2298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Устно, письменно, посредством размещения письменных ответов на запросы по электронной почте</w:t>
            </w:r>
          </w:p>
        </w:tc>
      </w:tr>
    </w:tbl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lef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4. Показатели результативности и эффективности Программы профилактики</w:t>
      </w:r>
    </w:p>
    <w:tbl>
      <w:tblPr>
        <w:tblW w:w="1039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0"/>
        <w:gridCol w:w="6030"/>
        <w:gridCol w:w="3466"/>
      </w:tblGrid>
      <w:tr>
        <w:trPr/>
        <w:tc>
          <w:tcPr>
            <w:tcW w:w="90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 xml:space="preserve">№ </w:t>
            </w:r>
            <w:r>
              <w:rPr/>
              <w:t>п/п</w:t>
            </w:r>
          </w:p>
        </w:tc>
        <w:tc>
          <w:tcPr>
            <w:tcW w:w="603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Наименование показателя</w:t>
            </w:r>
          </w:p>
        </w:tc>
        <w:tc>
          <w:tcPr>
            <w:tcW w:w="346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Величина</w:t>
            </w:r>
          </w:p>
        </w:tc>
      </w:tr>
      <w:tr>
        <w:trPr/>
        <w:tc>
          <w:tcPr>
            <w:tcW w:w="90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1</w:t>
            </w:r>
          </w:p>
        </w:tc>
        <w:tc>
          <w:tcPr>
            <w:tcW w:w="603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года 248-ФЗ «О государственном контроле (надзоре) и муниципальном контроле в Российской Федерации</w:t>
            </w:r>
          </w:p>
        </w:tc>
        <w:tc>
          <w:tcPr>
            <w:tcW w:w="346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100%</w:t>
            </w:r>
          </w:p>
        </w:tc>
      </w:tr>
      <w:tr>
        <w:trPr/>
        <w:tc>
          <w:tcPr>
            <w:tcW w:w="90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2</w:t>
            </w:r>
          </w:p>
        </w:tc>
        <w:tc>
          <w:tcPr>
            <w:tcW w:w="603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Удовлетворенность контролируемых лиц контрольной деятельностью в подконтрольной сфере</w:t>
            </w:r>
          </w:p>
        </w:tc>
        <w:tc>
          <w:tcPr>
            <w:tcW w:w="346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70% от числа обратившихся</w:t>
            </w:r>
          </w:p>
        </w:tc>
      </w:tr>
      <w:tr>
        <w:trPr/>
        <w:tc>
          <w:tcPr>
            <w:tcW w:w="90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3</w:t>
            </w:r>
          </w:p>
        </w:tc>
        <w:tc>
          <w:tcPr>
            <w:tcW w:w="603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Количество проведенных профилактических мероприятий</w:t>
            </w:r>
          </w:p>
        </w:tc>
        <w:tc>
          <w:tcPr>
            <w:tcW w:w="346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100% от запланированных</w:t>
            </w:r>
          </w:p>
        </w:tc>
      </w:tr>
      <w:tr>
        <w:trPr/>
        <w:tc>
          <w:tcPr>
            <w:tcW w:w="90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4</w:t>
            </w:r>
          </w:p>
        </w:tc>
        <w:tc>
          <w:tcPr>
            <w:tcW w:w="603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Доля устраненных нарушений земельного законодательства Российской Федерации, принятых контролируемыми лицами мерах к соблюдению требований земельного законодательства, от числа объявленных предостережений о недопустимости нарушения требований земельного законодательства</w:t>
            </w:r>
          </w:p>
        </w:tc>
        <w:tc>
          <w:tcPr>
            <w:tcW w:w="346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Не менее 50%</w:t>
            </w:r>
          </w:p>
        </w:tc>
      </w:tr>
      <w:tr>
        <w:trPr/>
        <w:tc>
          <w:tcPr>
            <w:tcW w:w="90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5</w:t>
            </w:r>
          </w:p>
        </w:tc>
        <w:tc>
          <w:tcPr>
            <w:tcW w:w="6030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 (ущерба) охраняемым законом ценностям %</w:t>
            </w:r>
          </w:p>
        </w:tc>
        <w:tc>
          <w:tcPr>
            <w:tcW w:w="346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20% и более</w:t>
            </w:r>
          </w:p>
        </w:tc>
      </w:tr>
    </w:tbl>
    <w:p>
      <w:pPr>
        <w:pStyle w:val="Normal"/>
        <w:spacing w:before="0" w:after="0"/>
        <w:jc w:val="lef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Для оценки эффективности и результативности программы профилактики используются следующие оценки показателей:</w:t>
      </w:r>
    </w:p>
    <w:tbl>
      <w:tblPr>
        <w:tblW w:w="1039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99"/>
        <w:gridCol w:w="2599"/>
        <w:gridCol w:w="2599"/>
        <w:gridCol w:w="2598"/>
      </w:tblGrid>
      <w:tr>
        <w:trPr/>
        <w:tc>
          <w:tcPr>
            <w:tcW w:w="259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Значения показателя</w:t>
            </w:r>
          </w:p>
        </w:tc>
        <w:tc>
          <w:tcPr>
            <w:tcW w:w="259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Нет отклонений</w:t>
            </w:r>
          </w:p>
        </w:tc>
        <w:tc>
          <w:tcPr>
            <w:tcW w:w="259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Отклонение больше 20%</w:t>
            </w:r>
          </w:p>
        </w:tc>
        <w:tc>
          <w:tcPr>
            <w:tcW w:w="2598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Отклонение больше 50%</w:t>
            </w:r>
          </w:p>
        </w:tc>
      </w:tr>
      <w:tr>
        <w:trPr/>
        <w:tc>
          <w:tcPr>
            <w:tcW w:w="2599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Оценка</w:t>
            </w:r>
          </w:p>
        </w:tc>
        <w:tc>
          <w:tcPr>
            <w:tcW w:w="2599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Высокая эффективность</w:t>
            </w:r>
          </w:p>
        </w:tc>
        <w:tc>
          <w:tcPr>
            <w:tcW w:w="2599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Удовлетворительная эффективность</w:t>
            </w:r>
          </w:p>
        </w:tc>
        <w:tc>
          <w:tcPr>
            <w:tcW w:w="2598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Низкая эффективность</w:t>
            </w:r>
          </w:p>
        </w:tc>
      </w:tr>
    </w:tbl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По окончании года орган муниципального земельного контроля подводит итоги реализации Программы профилактики, размещая отчет на сайте Администрации Миньярского городского поселения Миньяр74.рф в разделе «Муниципальный контроль» не позднее февраля года следующего за отчетным годом.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/>
      </w:r>
    </w:p>
    <w:sectPr>
      <w:type w:val="nextPage"/>
      <w:pgSz w:w="11906" w:h="16838"/>
      <w:pgMar w:left="1080" w:right="430" w:gutter="0" w:header="0" w:top="993" w:footer="0" w:bottom="993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Open Sans">
    <w:charset w:val="01"/>
    <w:family w:val="roman"/>
    <w:pitch w:val="variable"/>
  </w:font>
  <w:font w:name="Courier New">
    <w:charset w:val="01"/>
    <w:family w:val="roman"/>
    <w:pitch w:val="variable"/>
  </w:font>
  <w:font w:name="Times New Roman">
    <w:charset w:val="01"/>
    <w:family w:val="roman"/>
    <w:pitch w:val="variable"/>
  </w:font>
  <w:font w:name="Bookman Old Style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94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6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8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0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2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4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6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8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05" w:hanging="18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27bf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basedOn w:val="DefaultParagraphFont"/>
    <w:uiPriority w:val="99"/>
    <w:semiHidden/>
    <w:unhideWhenUsed/>
    <w:rsid w:val="00596ea0"/>
    <w:rPr>
      <w:color w:val="0000FF"/>
      <w:u w:val="single"/>
    </w:rPr>
  </w:style>
  <w:style w:type="character" w:styleId="Style15" w:customStyle="1">
    <w:name w:val="Текст выноски Знак"/>
    <w:basedOn w:val="DefaultParagraphFont"/>
    <w:link w:val="a5"/>
    <w:uiPriority w:val="99"/>
    <w:semiHidden/>
    <w:qFormat/>
    <w:rsid w:val="00596ea0"/>
    <w:rPr>
      <w:rFonts w:ascii="Tahoma" w:hAnsi="Tahoma" w:cs="Tahoma"/>
      <w:sz w:val="16"/>
      <w:szCs w:val="16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Open Sans" w:hAnsi="Open Sans" w:eastAsia="WenQuanYi Micro Hei" w:cs="Lohit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ohit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sPlusNonformat" w:customStyle="1">
    <w:name w:val="ConsPlusNonformat"/>
    <w:qFormat/>
    <w:rsid w:val="00596ea0"/>
    <w:pPr>
      <w:widowControl w:val="false"/>
      <w:suppressAutoHyphens w:val="true"/>
      <w:bidi w:val="0"/>
      <w:spacing w:lineRule="auto" w:line="240"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BalloonText">
    <w:name w:val="Balloon Text"/>
    <w:basedOn w:val="Normal"/>
    <w:link w:val="a6"/>
    <w:uiPriority w:val="99"/>
    <w:semiHidden/>
    <w:unhideWhenUsed/>
    <w:qFormat/>
    <w:rsid w:val="00596ea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e7533"/>
    <w:pPr>
      <w:spacing w:before="0" w:after="200"/>
      <w:ind w:left="720" w:hanging="0"/>
      <w:contextualSpacing/>
    </w:pPr>
    <w:rPr>
      <w:rFonts w:eastAsia="Calibri" w:eastAsiaTheme="minorHAnsi"/>
      <w:lang w:eastAsia="en-US"/>
    </w:rPr>
  </w:style>
  <w:style w:type="paragraph" w:styleId="NoSpacing">
    <w:name w:val="No Spacing"/>
    <w:uiPriority w:val="1"/>
    <w:qFormat/>
    <w:rsid w:val="00014a14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paragraph" w:styleId="NormalWeb">
    <w:name w:val="Normal (Web)"/>
    <w:basedOn w:val="Normal"/>
    <w:uiPriority w:val="99"/>
    <w:unhideWhenUsed/>
    <w:qFormat/>
    <w:rsid w:val="005635ef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Style21">
    <w:name w:val="Содержимое врезки"/>
    <w:basedOn w:val="Normal"/>
    <w:qFormat/>
    <w:pPr/>
    <w:rPr/>
  </w:style>
  <w:style w:type="paragraph" w:styleId="Style22">
    <w:name w:val="Содержимое таблицы"/>
    <w:basedOn w:val="Normal"/>
    <w:qFormat/>
    <w:pPr>
      <w:widowControl w:val="false"/>
      <w:suppressLineNumbers/>
    </w:pPr>
    <w:rPr/>
  </w:style>
  <w:style w:type="paragraph" w:styleId="Style23">
    <w:name w:val="Заголовок таблицы"/>
    <w:basedOn w:val="Style22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d3cce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2B183A-11A5-4FA9-BC22-BBDE8A3CD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Application>LibreOffice/7.2.4.1$Linux_X86_64 LibreOffice_project/20$Build-1</Application>
  <AppVersion>15.0000</AppVersion>
  <Pages>10</Pages>
  <Words>2421</Words>
  <Characters>16389</Characters>
  <CharactersWithSpaces>18468</CharactersWithSpaces>
  <Paragraphs>206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dc:description/>
  <dc:language>ru-RU</dc:language>
  <cp:lastModifiedBy/>
  <dcterms:modified xsi:type="dcterms:W3CDTF">2024-12-24T15:57:49Z</dcterms:modified>
  <cp:revision>161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